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3146C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Pr="0085691A" w:rsidRDefault="003146C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Pr="0085691A" w:rsidRDefault="003146C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Pr="0085691A" w:rsidRDefault="003146C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36733" w:rsidRPr="006322FD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EE2180">
        <w:rPr>
          <w:rFonts w:ascii="Times New Roman" w:eastAsia="Times New Roman" w:hAnsi="Times New Roman" w:cs="Times New Roman"/>
          <w:sz w:val="24"/>
          <w:szCs w:val="24"/>
          <w:lang w:val="sr-Cyrl-RS"/>
        </w:rPr>
        <w:t>121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-15</w:t>
      </w:r>
    </w:p>
    <w:p w:rsidR="00C36733" w:rsidRPr="0085691A" w:rsidRDefault="00FA64C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25.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Pr="0085691A" w:rsidRDefault="003146C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3146C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Pr="0085691A" w:rsidRDefault="00454434" w:rsidP="004266D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E218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352A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Pr="000119C5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19C5" w:rsidRPr="00BF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11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2659" w:rsidRPr="00BF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10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12DCB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812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812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12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812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2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812D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812D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35D56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Milojević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Zindovića</w:t>
      </w:r>
      <w:r w:rsidR="00E35D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35D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35D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35D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E35D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E35D56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1D3F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60D0" w:rsidRDefault="00C36733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5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5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64BF3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264B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 w:rsidR="001A40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1A40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36A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A36A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</w:t>
      </w:r>
      <w:r w:rsidR="00A36A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Milutinović</w:t>
      </w:r>
      <w:r w:rsidR="00A36A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A36A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A36A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Mišković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Ugrin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A36A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A36A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A36A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A36A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Penezić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36A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Boris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Lemberger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ispitivanje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Radojčić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Milovanović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materijalno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3444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40E2" w:rsidRPr="0085691A" w:rsidRDefault="001A40E2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BF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3146C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ED4D84" w:rsidP="00061F03">
      <w:pPr>
        <w:spacing w:after="0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ED4D84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ED4D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02-459/15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</w:t>
      </w:r>
      <w:r w:rsidR="006902B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A0A5C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061F03" w:rsidRPr="00061F03" w:rsidRDefault="00061F03" w:rsidP="00061F03">
      <w:pPr>
        <w:spacing w:after="0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72254" w:rsidRDefault="00C36733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5C216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4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5C2167" w:rsidRPr="005C216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Godišnjeg</w:t>
      </w:r>
      <w:r w:rsidR="005C2167" w:rsidRPr="005C216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izveštaja</w:t>
      </w:r>
      <w:r w:rsidR="005C2167" w:rsidRPr="005C216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C2167" w:rsidRPr="005C216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5C2167" w:rsidRPr="005C216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5C2167" w:rsidRPr="005C216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5C2167" w:rsidRPr="005C216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="005C2167" w:rsidRPr="005C216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konkurencije</w:t>
      </w:r>
      <w:r w:rsidR="005C2167" w:rsidRPr="005C216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5C2167" w:rsidRPr="005C216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2014.</w:t>
      </w:r>
      <w:r w:rsidR="00211C8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D2D51" w:rsidRDefault="003D2D51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B39BA" w:rsidRDefault="003D2D51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1C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1DAA" w:rsidRDefault="00024E0E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B39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B39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B39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B39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B39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66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izazove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suočio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saziv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E33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E33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3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39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zatečen</w:t>
      </w:r>
      <w:r w:rsidR="000316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okončan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uprkos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dugom</w:t>
      </w:r>
      <w:r w:rsidR="00E33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vremenskom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pokretanja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činjenici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iscrpljene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daljeg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dokaza</w:t>
      </w:r>
      <w:r w:rsidR="00966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966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određenog</w:t>
      </w:r>
      <w:r w:rsidR="00966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966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966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66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9663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okončani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obezbeđivanje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dokaza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doprineli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54F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Normativno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akti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počeo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33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saziv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nedovoljan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izvršilaca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obim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</w:t>
      </w:r>
      <w:r w:rsidR="00A31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1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adekvatan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41F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2C5F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876B0" w:rsidRDefault="002C5F1D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najvažnijim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aspektima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najvažnijih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postupaka</w:t>
      </w:r>
      <w:r w:rsidR="00D872F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utvrđivanja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povrede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ispitivanja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koncentracija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davanja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Dat</w:t>
      </w:r>
      <w:r w:rsidR="002272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72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najvažnijih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C8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B0E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FB0E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B0E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pridruživanja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regulatornim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telima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državnim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541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1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međunarodne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7A686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05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E05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05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05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05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E05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05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05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E05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nezavisna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A31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izvornim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prihodima</w:t>
      </w:r>
      <w:r w:rsidR="00A31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31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taksi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popunjeno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radno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54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sistematizovana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nedovoljan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adekvatno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Planirano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435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finansijskim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planom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odobrila</w:t>
      </w:r>
      <w:r w:rsidR="000707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Kvalifikaciona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data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pokazuje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90%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završenu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visoku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stručnu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spremu</w:t>
      </w:r>
      <w:r w:rsidR="00C5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48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položen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pravosudni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ispit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prekovremenog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angažovanih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ugovoru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privremenih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povremenih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024E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ostvarila</w:t>
      </w:r>
      <w:r w:rsidR="004113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suficit</w:t>
      </w:r>
      <w:r w:rsidR="004113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37715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13771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 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>205</w:t>
      </w:r>
      <w:r w:rsidR="00137715">
        <w:rPr>
          <w:rFonts w:ascii="Times New Roman" w:eastAsia="Times New Roman" w:hAnsi="Times New Roman" w:cs="Times New Roman"/>
          <w:sz w:val="24"/>
          <w:szCs w:val="24"/>
          <w:lang w:val="sr-Latn-RS"/>
        </w:rPr>
        <w:t>,3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093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prenet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A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3A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260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2A49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rezerve</w:t>
      </w:r>
      <w:r w:rsidR="008078D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5B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15B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15B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</w:t>
      </w:r>
      <w:r w:rsidR="00F15B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5B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F15B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Prihodi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porasli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novembru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decembru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61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61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661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trošak</w:t>
      </w:r>
      <w:r w:rsidR="00661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61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 w:rsidR="00661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1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661E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čine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65%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rashoda</w:t>
      </w:r>
      <w:r w:rsidR="0014275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korišćena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nabavku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donirala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obuke</w:t>
      </w:r>
      <w:r w:rsidR="00B438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7E2AE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B11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Troškovi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iznose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male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centralizovane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BF28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330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2A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992A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pristupanja</w:t>
      </w:r>
      <w:r w:rsidR="00992A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992A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992A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F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skriningu</w:t>
      </w:r>
      <w:r w:rsidR="00AF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održanom</w:t>
      </w:r>
      <w:r w:rsidR="00AF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AF33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92A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992A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92A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92A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pohvale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učešća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pregovaračkim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grupama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deset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informatičko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mediji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 –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saobraćajna</w:t>
      </w:r>
      <w:r w:rsidR="000E7D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6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0E7D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–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energetika</w:t>
      </w:r>
      <w:r w:rsidR="00B846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73.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stabilizaciji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pridruživanju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regulišu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0606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A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3A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3A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A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B31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31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zakone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propise</w:t>
      </w:r>
      <w:r w:rsidR="003A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3A21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postojalo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razumevanje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sagledavanje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planirani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sastanci</w:t>
      </w:r>
      <w:r w:rsidR="00EB31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Privrednom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komorom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promovisati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uloga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suština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8408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7C75" w:rsidRDefault="00E876B0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koncentracija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važnosti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3E2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E2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3E20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inostrana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pravna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zainteresivana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prisutnost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stizale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Nemačke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(11),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Holandije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(10),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Luksemburga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Švajcarske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Slovenije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Austrije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UAE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0C2B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A60C2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Mađarske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Hrvatske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Irske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Italije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Kipra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Ukrajine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BIH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Rumunije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F70C1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60C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Urađena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63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sektorska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nafte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naftinih</w:t>
      </w:r>
      <w:r w:rsidR="00E62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derivata</w:t>
      </w:r>
      <w:r w:rsidR="00E62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2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2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planu</w:t>
      </w:r>
      <w:r w:rsidR="00E62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urade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C761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sektorske</w:t>
      </w:r>
      <w:r w:rsidR="00A42E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analize</w:t>
      </w:r>
      <w:r w:rsidR="00A42E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9D2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C42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Protokol</w:t>
      </w:r>
      <w:r w:rsidR="009D2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D2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9D2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2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razmeni</w:t>
      </w:r>
      <w:r w:rsidR="009D2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9D2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20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Agencijom</w:t>
      </w:r>
      <w:r w:rsidR="00BC42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C42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A636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A636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Služba</w:t>
      </w:r>
      <w:r w:rsidR="007C27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predavači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međunarodnim</w:t>
      </w:r>
      <w:r w:rsidR="00DE5D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skupovima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seminarima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traju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Jačanje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institucionalnih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sveobuhvatne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obuke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zaposlenima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D7C75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  <w:r w:rsidR="00CF49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A7B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podizanju</w:t>
      </w:r>
      <w:r w:rsidR="00CF49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svesti</w:t>
      </w:r>
      <w:r w:rsidR="00CF49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F49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značaju</w:t>
      </w:r>
      <w:r w:rsidR="00CF49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236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236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236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236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236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236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CF49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462A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62A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informisana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njihova</w:t>
      </w:r>
      <w:r w:rsidR="00462A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edukacija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E62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620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podignuta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shvatili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ulogu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7523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</w:t>
      </w:r>
      <w:r w:rsidR="00D96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96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96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96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96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nastojati</w:t>
      </w:r>
      <w:r w:rsidR="00D96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963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realizuje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F04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EF04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EF04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Evropsku</w:t>
      </w:r>
      <w:r w:rsidR="00EF04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komisiju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smernice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misiju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viziju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strategiju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ciljeve</w:t>
      </w:r>
      <w:r w:rsidR="008D36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C27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4EDB" w:rsidRDefault="00614EDB" w:rsidP="0027410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E620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postavili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izneli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stavove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06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B06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odnosila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B06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B06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</w:t>
      </w:r>
      <w:r w:rsidR="008B06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8B06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8B06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06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14EDB" w:rsidRPr="00614EDB" w:rsidRDefault="00614EDB" w:rsidP="0027410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E3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E3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E3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realizovani</w:t>
      </w:r>
      <w:r w:rsidR="000E3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troškovi</w:t>
      </w: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ugovoru</w:t>
      </w: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potrošeno</w:t>
      </w: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0E37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70000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Pr="00614EDB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C2721" w:rsidRDefault="00614EDB" w:rsidP="0027410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9C5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C5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C5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1.103.</w:t>
      </w:r>
      <w:r w:rsidR="0031455A">
        <w:rPr>
          <w:rFonts w:ascii="Times New Roman" w:eastAsia="Times New Roman" w:hAnsi="Times New Roman" w:cs="Times New Roman"/>
          <w:sz w:val="24"/>
          <w:szCs w:val="24"/>
          <w:lang w:val="sr-Cyrl-RS"/>
        </w:rPr>
        <w:t>604</w:t>
      </w:r>
      <w:r w:rsidR="001363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262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62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262C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naknada</w:t>
      </w:r>
      <w:r w:rsidR="009C5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C5A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zaposlene</w:t>
      </w:r>
      <w:r w:rsidR="00262C23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62C23" w:rsidRDefault="00262C23" w:rsidP="0027410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putovao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putovao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putovao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dnevnice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62C23" w:rsidRDefault="00262C23" w:rsidP="0027410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F4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4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F4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126F19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26F19" w:rsidRDefault="00126F19" w:rsidP="00274104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iznose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270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270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0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doprinosa</w:t>
      </w:r>
      <w:r w:rsidR="00270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8020E" w:rsidRDefault="00BF4E20" w:rsidP="00FD1DA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razjasniti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stavke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realizovane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iznose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nagrade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putovanja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usluge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ugovoru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Traženo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strukturi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ugovoru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zaposlene</w:t>
      </w:r>
      <w:r w:rsidR="00AC7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C73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presekom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saziv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C8020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52110" w:rsidRDefault="00BF4E20" w:rsidP="009E632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C1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C1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DC1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C10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ukupni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prihodi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41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541A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iznose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F05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325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D00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rashodi</w:t>
      </w:r>
      <w:r w:rsidR="001F4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119</w:t>
      </w:r>
      <w:r w:rsidR="001F45F7">
        <w:rPr>
          <w:rFonts w:ascii="Times New Roman" w:eastAsia="Times New Roman" w:hAnsi="Times New Roman" w:cs="Times New Roman"/>
          <w:sz w:val="24"/>
          <w:szCs w:val="24"/>
          <w:lang w:val="sr-Cyrl-RS"/>
        </w:rPr>
        <w:t>,7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suficit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0B1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>205</w:t>
      </w:r>
      <w:r w:rsidR="000B1A9B">
        <w:rPr>
          <w:rFonts w:ascii="Times New Roman" w:eastAsia="Times New Roman" w:hAnsi="Times New Roman" w:cs="Times New Roman"/>
          <w:sz w:val="24"/>
          <w:szCs w:val="24"/>
          <w:lang w:val="sr-Cyrl-RS"/>
        </w:rPr>
        <w:t>,3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205</w:t>
      </w:r>
      <w:r w:rsidR="00F411A7">
        <w:rPr>
          <w:rFonts w:ascii="Times New Roman" w:eastAsia="Times New Roman" w:hAnsi="Times New Roman" w:cs="Times New Roman"/>
          <w:sz w:val="24"/>
          <w:szCs w:val="24"/>
          <w:lang w:val="sr-Cyrl-RS"/>
        </w:rPr>
        <w:t>,3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preneto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547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ostatak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270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banci</w:t>
      </w:r>
      <w:r w:rsidR="00270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rezerva</w:t>
      </w:r>
      <w:r w:rsidR="009E632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90%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stručnoj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završenu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visoku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stručnu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spremu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prosečnu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zaradu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doprinosa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99</w:t>
      </w:r>
      <w:r w:rsidR="00E33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1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123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Zarada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poreza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doprinosa</w:t>
      </w:r>
      <w:r w:rsidR="00BC72F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2B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3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232 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718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2B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3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193 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931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BC29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prima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ugovoru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Troškovi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ugovoru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podrazumevaju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novčanu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čišćenje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prostorija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obezbeđenje</w:t>
      </w:r>
      <w:r w:rsidR="00BB60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trošak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putovanje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Brisel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uzima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novac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dnevnica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službena</w:t>
      </w:r>
      <w:r w:rsidR="00EC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putovanja</w:t>
      </w:r>
      <w:r w:rsidR="001A0B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24E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86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6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628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iznos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33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3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72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AE36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AE36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obuhvata</w:t>
      </w:r>
      <w:r w:rsidR="00AE36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 w:rsidR="00AE36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AE36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AE36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E1C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D521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traženu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sadržati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strukturu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rashoda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B57B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221DB7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6F2616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BF2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BF4E2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2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BF26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F4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4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 w:rsidR="00BF4E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BF4E2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331BE" w:rsidRDefault="001331BE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331BE" w:rsidRDefault="001331BE" w:rsidP="001331B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1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Godišnjeg</w:t>
      </w:r>
      <w:r w:rsidRPr="00133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zveštaja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6754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predlogom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ga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skupština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razmotri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donese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zaključak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hitnom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postupku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čl</w:t>
      </w:r>
      <w:r w:rsidRPr="001331B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754E2">
        <w:rPr>
          <w:rFonts w:ascii="Times New Roman" w:hAnsi="Times New Roman" w:cs="Times New Roman"/>
          <w:sz w:val="24"/>
          <w:szCs w:val="24"/>
          <w:lang w:val="ru-RU"/>
        </w:rPr>
        <w:t xml:space="preserve">167.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754E2">
        <w:rPr>
          <w:rFonts w:ascii="Times New Roman" w:hAnsi="Times New Roman" w:cs="Times New Roman"/>
          <w:sz w:val="24"/>
          <w:szCs w:val="24"/>
          <w:lang w:val="ru-RU"/>
        </w:rPr>
        <w:t xml:space="preserve"> 193</w:t>
      </w:r>
      <w:r w:rsidRPr="001331BE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2D07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tako</w:t>
      </w:r>
      <w:r w:rsid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glasi</w:t>
      </w:r>
      <w:r w:rsidR="002D07D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D07D6" w:rsidRPr="002D07D6" w:rsidRDefault="002D07D6" w:rsidP="002D07D6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„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9/10 )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2D07D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D07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D07D6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2D07D6" w:rsidRDefault="002D07D6" w:rsidP="002D07D6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D07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__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_______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zasedanja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_____2015.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244AD" w:rsidRPr="00D244AD" w:rsidRDefault="00D244AD" w:rsidP="002D07D6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2D07D6" w:rsidRPr="002D07D6" w:rsidRDefault="002D07D6" w:rsidP="002D0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07D6" w:rsidRDefault="003146C9" w:rsidP="002D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ZAKLjUČ</w:t>
      </w:r>
      <w:r w:rsidR="002D07D6" w:rsidRPr="002D07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2D07D6" w:rsidRPr="002D07D6" w:rsidRDefault="002D07D6" w:rsidP="002D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7D6" w:rsidRPr="002D07D6" w:rsidRDefault="003146C9" w:rsidP="002D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Godišnjeg</w:t>
      </w:r>
      <w:r w:rsidR="002D07D6"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zveštaja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</w:p>
    <w:p w:rsidR="002D07D6" w:rsidRPr="002D07D6" w:rsidRDefault="002D07D6" w:rsidP="002D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07D6" w:rsidRPr="002D07D6" w:rsidRDefault="002D07D6" w:rsidP="002D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07D6" w:rsidRPr="002D07D6" w:rsidRDefault="003146C9" w:rsidP="002D07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2D07D6"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D07D6"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Godišnji</w:t>
      </w:r>
      <w:r w:rsidR="002D07D6"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07D6" w:rsidRPr="002D07D6" w:rsidRDefault="003146C9" w:rsidP="002D07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zaključak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objaviti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ru-RU"/>
        </w:rPr>
        <w:t>Službenom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glasniku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:rsidR="002D07D6" w:rsidRPr="002D07D6" w:rsidRDefault="002D07D6" w:rsidP="002D07D6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7D6" w:rsidRPr="002D07D6" w:rsidRDefault="002D07D6" w:rsidP="002D07D6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7D6" w:rsidRPr="002D07D6" w:rsidRDefault="003146C9" w:rsidP="002D07D6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RS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__ </w:t>
      </w:r>
    </w:p>
    <w:p w:rsidR="002D07D6" w:rsidRPr="002D07D6" w:rsidRDefault="003146C9" w:rsidP="002D07D6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Beogradu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, ____ 2015.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</w:p>
    <w:p w:rsidR="002D07D6" w:rsidRPr="002D07D6" w:rsidRDefault="002D07D6" w:rsidP="00880D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D07D6" w:rsidRDefault="003146C9" w:rsidP="002D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="002D07D6" w:rsidRPr="002D07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SKUPŠTINA</w:t>
      </w:r>
    </w:p>
    <w:p w:rsidR="00880D5A" w:rsidRPr="002D07D6" w:rsidRDefault="00880D5A" w:rsidP="002D0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D07D6" w:rsidRDefault="003146C9" w:rsidP="00880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</w:p>
    <w:p w:rsidR="00880D5A" w:rsidRPr="002D07D6" w:rsidRDefault="00880D5A" w:rsidP="00880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80D5A" w:rsidRDefault="003146C9" w:rsidP="00880D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880D5A"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="00880D5A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BA1DD7" w:rsidRDefault="00BA1DD7" w:rsidP="00BA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07D6" w:rsidRPr="002D07D6" w:rsidRDefault="00BA1DD7" w:rsidP="0042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3397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42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4266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2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46C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4159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266D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1331BE" w:rsidRPr="004266D8" w:rsidRDefault="002D07D6" w:rsidP="00426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D07D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  <w:r w:rsidR="004266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C36733" w:rsidRPr="00D223AA" w:rsidRDefault="00C36733" w:rsidP="009F00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BF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F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zaključena</w:t>
      </w:r>
      <w:r w:rsidR="00BF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BF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11</w:t>
      </w:r>
      <w:r w:rsidR="00B114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BF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BF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45</w:t>
      </w:r>
      <w:r w:rsidR="00ED4D84" w:rsidRPr="00BF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minuta</w:t>
      </w:r>
      <w:r w:rsidRPr="00BF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C8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C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RPr="0085691A" w:rsidTr="00C36733">
        <w:tc>
          <w:tcPr>
            <w:tcW w:w="4788" w:type="dxa"/>
          </w:tcPr>
          <w:p w:rsidR="00C36733" w:rsidRPr="0085691A" w:rsidRDefault="003146C9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3146C9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3146C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3146C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46C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46C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C36733" w:rsidRPr="0085691A" w:rsidRDefault="00C36733" w:rsidP="001D08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C36733" w:rsidRPr="0085691A" w:rsidSect="00D5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1C" w:rsidRDefault="00796E1C" w:rsidP="00455BB6">
      <w:pPr>
        <w:spacing w:after="0" w:line="240" w:lineRule="auto"/>
      </w:pPr>
      <w:r>
        <w:separator/>
      </w:r>
    </w:p>
  </w:endnote>
  <w:endnote w:type="continuationSeparator" w:id="0">
    <w:p w:rsidR="00796E1C" w:rsidRDefault="00796E1C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C9" w:rsidRDefault="00314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C9" w:rsidRDefault="003146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C9" w:rsidRDefault="00314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1C" w:rsidRDefault="00796E1C" w:rsidP="00455BB6">
      <w:pPr>
        <w:spacing w:after="0" w:line="240" w:lineRule="auto"/>
      </w:pPr>
      <w:r>
        <w:separator/>
      </w:r>
    </w:p>
  </w:footnote>
  <w:footnote w:type="continuationSeparator" w:id="0">
    <w:p w:rsidR="00796E1C" w:rsidRDefault="00796E1C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C9" w:rsidRDefault="00314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4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C9" w:rsidRDefault="00314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0E2CF7"/>
    <w:multiLevelType w:val="hybridMultilevel"/>
    <w:tmpl w:val="4768BD84"/>
    <w:lvl w:ilvl="0" w:tplc="5860B5B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58336CB1"/>
    <w:multiLevelType w:val="hybridMultilevel"/>
    <w:tmpl w:val="D5B88B9A"/>
    <w:lvl w:ilvl="0" w:tplc="A65812A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119C5"/>
    <w:rsid w:val="000125EC"/>
    <w:rsid w:val="00014603"/>
    <w:rsid w:val="00016894"/>
    <w:rsid w:val="00016F22"/>
    <w:rsid w:val="00020CDD"/>
    <w:rsid w:val="00024E0E"/>
    <w:rsid w:val="00031647"/>
    <w:rsid w:val="00031D27"/>
    <w:rsid w:val="00046F11"/>
    <w:rsid w:val="000606FF"/>
    <w:rsid w:val="00061D18"/>
    <w:rsid w:val="00061F03"/>
    <w:rsid w:val="000650A2"/>
    <w:rsid w:val="000707D6"/>
    <w:rsid w:val="00072254"/>
    <w:rsid w:val="0009341B"/>
    <w:rsid w:val="00096FD5"/>
    <w:rsid w:val="000B1A9B"/>
    <w:rsid w:val="000C4A0F"/>
    <w:rsid w:val="000C7316"/>
    <w:rsid w:val="000D4159"/>
    <w:rsid w:val="000E3707"/>
    <w:rsid w:val="000E7D25"/>
    <w:rsid w:val="0010124C"/>
    <w:rsid w:val="00126F19"/>
    <w:rsid w:val="001331BE"/>
    <w:rsid w:val="0013635A"/>
    <w:rsid w:val="00137715"/>
    <w:rsid w:val="00142008"/>
    <w:rsid w:val="0014275D"/>
    <w:rsid w:val="00160157"/>
    <w:rsid w:val="00195AE9"/>
    <w:rsid w:val="001A0B1B"/>
    <w:rsid w:val="001A1521"/>
    <w:rsid w:val="001A367A"/>
    <w:rsid w:val="001A40E2"/>
    <w:rsid w:val="001B4749"/>
    <w:rsid w:val="001B61D5"/>
    <w:rsid w:val="001C2D43"/>
    <w:rsid w:val="001D0884"/>
    <w:rsid w:val="001D3F21"/>
    <w:rsid w:val="001D591A"/>
    <w:rsid w:val="001F3400"/>
    <w:rsid w:val="001F45F7"/>
    <w:rsid w:val="00202270"/>
    <w:rsid w:val="00211C81"/>
    <w:rsid w:val="002125AC"/>
    <w:rsid w:val="00215F6A"/>
    <w:rsid w:val="00221DB7"/>
    <w:rsid w:val="002272DE"/>
    <w:rsid w:val="00236D2B"/>
    <w:rsid w:val="00262C23"/>
    <w:rsid w:val="00264BF3"/>
    <w:rsid w:val="002653C6"/>
    <w:rsid w:val="00270D5E"/>
    <w:rsid w:val="00274104"/>
    <w:rsid w:val="00282AD6"/>
    <w:rsid w:val="00282FA3"/>
    <w:rsid w:val="002860D0"/>
    <w:rsid w:val="002A49E7"/>
    <w:rsid w:val="002B2431"/>
    <w:rsid w:val="002B3157"/>
    <w:rsid w:val="002B3FAF"/>
    <w:rsid w:val="002B6345"/>
    <w:rsid w:val="002C5F1D"/>
    <w:rsid w:val="002D07D6"/>
    <w:rsid w:val="002E60AF"/>
    <w:rsid w:val="002F2777"/>
    <w:rsid w:val="002F45F2"/>
    <w:rsid w:val="003017A6"/>
    <w:rsid w:val="0030443C"/>
    <w:rsid w:val="00307E90"/>
    <w:rsid w:val="0031003A"/>
    <w:rsid w:val="00312AE8"/>
    <w:rsid w:val="0031455A"/>
    <w:rsid w:val="003146C9"/>
    <w:rsid w:val="0031720A"/>
    <w:rsid w:val="003229C6"/>
    <w:rsid w:val="00322D35"/>
    <w:rsid w:val="0033384A"/>
    <w:rsid w:val="00341F2B"/>
    <w:rsid w:val="003444A7"/>
    <w:rsid w:val="0035599F"/>
    <w:rsid w:val="00356CF0"/>
    <w:rsid w:val="00360A34"/>
    <w:rsid w:val="003648BC"/>
    <w:rsid w:val="0036535B"/>
    <w:rsid w:val="003660A3"/>
    <w:rsid w:val="00367DD6"/>
    <w:rsid w:val="003816C8"/>
    <w:rsid w:val="00387421"/>
    <w:rsid w:val="00390CEB"/>
    <w:rsid w:val="0039331D"/>
    <w:rsid w:val="00395139"/>
    <w:rsid w:val="003A214B"/>
    <w:rsid w:val="003A3C1C"/>
    <w:rsid w:val="003A7B20"/>
    <w:rsid w:val="003C71E6"/>
    <w:rsid w:val="003D2D51"/>
    <w:rsid w:val="003E20A7"/>
    <w:rsid w:val="003E67DE"/>
    <w:rsid w:val="00401B79"/>
    <w:rsid w:val="004113F1"/>
    <w:rsid w:val="004266D8"/>
    <w:rsid w:val="00441F68"/>
    <w:rsid w:val="00454434"/>
    <w:rsid w:val="00455BB6"/>
    <w:rsid w:val="00460EB4"/>
    <w:rsid w:val="0046215F"/>
    <w:rsid w:val="00462A2D"/>
    <w:rsid w:val="004740FE"/>
    <w:rsid w:val="004866FF"/>
    <w:rsid w:val="00490CA0"/>
    <w:rsid w:val="004A556E"/>
    <w:rsid w:val="004B7C74"/>
    <w:rsid w:val="004D0214"/>
    <w:rsid w:val="004D4802"/>
    <w:rsid w:val="004E2A2F"/>
    <w:rsid w:val="004F350D"/>
    <w:rsid w:val="0051506C"/>
    <w:rsid w:val="00531E49"/>
    <w:rsid w:val="0053328C"/>
    <w:rsid w:val="00533900"/>
    <w:rsid w:val="00540E84"/>
    <w:rsid w:val="00541A89"/>
    <w:rsid w:val="00541D2B"/>
    <w:rsid w:val="0054201D"/>
    <w:rsid w:val="005474F3"/>
    <w:rsid w:val="0057027A"/>
    <w:rsid w:val="00576435"/>
    <w:rsid w:val="00577E3E"/>
    <w:rsid w:val="005B1162"/>
    <w:rsid w:val="005B6286"/>
    <w:rsid w:val="005C2167"/>
    <w:rsid w:val="005C420A"/>
    <w:rsid w:val="005D2BA7"/>
    <w:rsid w:val="005E4F15"/>
    <w:rsid w:val="005E5AB7"/>
    <w:rsid w:val="005F32EF"/>
    <w:rsid w:val="00614111"/>
    <w:rsid w:val="00614EDB"/>
    <w:rsid w:val="006222A4"/>
    <w:rsid w:val="0062337E"/>
    <w:rsid w:val="006322FD"/>
    <w:rsid w:val="00635FB4"/>
    <w:rsid w:val="00636EBD"/>
    <w:rsid w:val="00642C47"/>
    <w:rsid w:val="00644B37"/>
    <w:rsid w:val="006506E3"/>
    <w:rsid w:val="00661EBC"/>
    <w:rsid w:val="00663227"/>
    <w:rsid w:val="006727B4"/>
    <w:rsid w:val="006754E2"/>
    <w:rsid w:val="006902B9"/>
    <w:rsid w:val="006909C6"/>
    <w:rsid w:val="00692EE6"/>
    <w:rsid w:val="00696BF5"/>
    <w:rsid w:val="006B2EC2"/>
    <w:rsid w:val="006D0FF4"/>
    <w:rsid w:val="006D5DEA"/>
    <w:rsid w:val="006E41F6"/>
    <w:rsid w:val="006E46E4"/>
    <w:rsid w:val="006F2616"/>
    <w:rsid w:val="006F352A"/>
    <w:rsid w:val="00722882"/>
    <w:rsid w:val="007523CC"/>
    <w:rsid w:val="007627AE"/>
    <w:rsid w:val="0076370F"/>
    <w:rsid w:val="007637F8"/>
    <w:rsid w:val="0077797E"/>
    <w:rsid w:val="0079015B"/>
    <w:rsid w:val="00794FC8"/>
    <w:rsid w:val="00796E1C"/>
    <w:rsid w:val="007A686D"/>
    <w:rsid w:val="007B39D8"/>
    <w:rsid w:val="007C2721"/>
    <w:rsid w:val="007D56E1"/>
    <w:rsid w:val="007D6089"/>
    <w:rsid w:val="007E1F3A"/>
    <w:rsid w:val="007E2AE7"/>
    <w:rsid w:val="00801B61"/>
    <w:rsid w:val="00803ED1"/>
    <w:rsid w:val="008053C1"/>
    <w:rsid w:val="008078D7"/>
    <w:rsid w:val="0081022A"/>
    <w:rsid w:val="00812DCB"/>
    <w:rsid w:val="00814240"/>
    <w:rsid w:val="00832D25"/>
    <w:rsid w:val="00833689"/>
    <w:rsid w:val="0084089E"/>
    <w:rsid w:val="00845331"/>
    <w:rsid w:val="00850D00"/>
    <w:rsid w:val="00854F9C"/>
    <w:rsid w:val="0085691A"/>
    <w:rsid w:val="008628E9"/>
    <w:rsid w:val="00880D5A"/>
    <w:rsid w:val="0088467E"/>
    <w:rsid w:val="008A40DD"/>
    <w:rsid w:val="008A634C"/>
    <w:rsid w:val="008B061E"/>
    <w:rsid w:val="008B3CA2"/>
    <w:rsid w:val="008B42E0"/>
    <w:rsid w:val="008C450D"/>
    <w:rsid w:val="008D3696"/>
    <w:rsid w:val="008D57ED"/>
    <w:rsid w:val="008D5A1C"/>
    <w:rsid w:val="009000AF"/>
    <w:rsid w:val="009043E4"/>
    <w:rsid w:val="00926CF7"/>
    <w:rsid w:val="00933BC6"/>
    <w:rsid w:val="009612A0"/>
    <w:rsid w:val="009612F8"/>
    <w:rsid w:val="0096637F"/>
    <w:rsid w:val="00992A70"/>
    <w:rsid w:val="009A0ECA"/>
    <w:rsid w:val="009B03C2"/>
    <w:rsid w:val="009C5AD7"/>
    <w:rsid w:val="009D20F4"/>
    <w:rsid w:val="009D74C6"/>
    <w:rsid w:val="009E0DEE"/>
    <w:rsid w:val="009E6326"/>
    <w:rsid w:val="009F00AB"/>
    <w:rsid w:val="00A05F2C"/>
    <w:rsid w:val="00A10A93"/>
    <w:rsid w:val="00A311FC"/>
    <w:rsid w:val="00A36A9D"/>
    <w:rsid w:val="00A42ED6"/>
    <w:rsid w:val="00A507F3"/>
    <w:rsid w:val="00A530D8"/>
    <w:rsid w:val="00A60C2B"/>
    <w:rsid w:val="00A636F2"/>
    <w:rsid w:val="00A659D1"/>
    <w:rsid w:val="00A7651E"/>
    <w:rsid w:val="00A8568F"/>
    <w:rsid w:val="00A94A3D"/>
    <w:rsid w:val="00AA0F7C"/>
    <w:rsid w:val="00AA5E93"/>
    <w:rsid w:val="00AC7364"/>
    <w:rsid w:val="00AD4AFC"/>
    <w:rsid w:val="00AE36BD"/>
    <w:rsid w:val="00AE516A"/>
    <w:rsid w:val="00AF335F"/>
    <w:rsid w:val="00B10D6A"/>
    <w:rsid w:val="00B11490"/>
    <w:rsid w:val="00B11812"/>
    <w:rsid w:val="00B11E36"/>
    <w:rsid w:val="00B1249A"/>
    <w:rsid w:val="00B15149"/>
    <w:rsid w:val="00B31213"/>
    <w:rsid w:val="00B4352D"/>
    <w:rsid w:val="00B438CB"/>
    <w:rsid w:val="00B462E3"/>
    <w:rsid w:val="00B4660A"/>
    <w:rsid w:val="00B57BFB"/>
    <w:rsid w:val="00B62167"/>
    <w:rsid w:val="00B638E4"/>
    <w:rsid w:val="00B66067"/>
    <w:rsid w:val="00B67B32"/>
    <w:rsid w:val="00B71A55"/>
    <w:rsid w:val="00B8465B"/>
    <w:rsid w:val="00B90059"/>
    <w:rsid w:val="00BA1DD7"/>
    <w:rsid w:val="00BA3F75"/>
    <w:rsid w:val="00BB605E"/>
    <w:rsid w:val="00BC29DF"/>
    <w:rsid w:val="00BC420B"/>
    <w:rsid w:val="00BC72F1"/>
    <w:rsid w:val="00BE03CF"/>
    <w:rsid w:val="00BE7D32"/>
    <w:rsid w:val="00BF2659"/>
    <w:rsid w:val="00BF2870"/>
    <w:rsid w:val="00BF4E20"/>
    <w:rsid w:val="00C12DB9"/>
    <w:rsid w:val="00C1344D"/>
    <w:rsid w:val="00C15B13"/>
    <w:rsid w:val="00C17DBA"/>
    <w:rsid w:val="00C26ED7"/>
    <w:rsid w:val="00C36733"/>
    <w:rsid w:val="00C43E05"/>
    <w:rsid w:val="00C47F04"/>
    <w:rsid w:val="00C5427C"/>
    <w:rsid w:val="00C5489B"/>
    <w:rsid w:val="00C560B8"/>
    <w:rsid w:val="00C57B12"/>
    <w:rsid w:val="00C61759"/>
    <w:rsid w:val="00C761FC"/>
    <w:rsid w:val="00C8020E"/>
    <w:rsid w:val="00C80E01"/>
    <w:rsid w:val="00C83A0E"/>
    <w:rsid w:val="00C92D01"/>
    <w:rsid w:val="00C951AD"/>
    <w:rsid w:val="00CC28D8"/>
    <w:rsid w:val="00CD0275"/>
    <w:rsid w:val="00CF4912"/>
    <w:rsid w:val="00D002E5"/>
    <w:rsid w:val="00D05F17"/>
    <w:rsid w:val="00D1238E"/>
    <w:rsid w:val="00D223AA"/>
    <w:rsid w:val="00D244AD"/>
    <w:rsid w:val="00D330D7"/>
    <w:rsid w:val="00D36AA9"/>
    <w:rsid w:val="00D5147E"/>
    <w:rsid w:val="00D52110"/>
    <w:rsid w:val="00D75E1A"/>
    <w:rsid w:val="00D8183D"/>
    <w:rsid w:val="00D862E6"/>
    <w:rsid w:val="00D872F9"/>
    <w:rsid w:val="00D91C37"/>
    <w:rsid w:val="00D96372"/>
    <w:rsid w:val="00DB24D9"/>
    <w:rsid w:val="00DB2796"/>
    <w:rsid w:val="00DB378E"/>
    <w:rsid w:val="00DB39BA"/>
    <w:rsid w:val="00DC10CD"/>
    <w:rsid w:val="00DC4165"/>
    <w:rsid w:val="00DD7C75"/>
    <w:rsid w:val="00DE50CB"/>
    <w:rsid w:val="00DE5D63"/>
    <w:rsid w:val="00DF1B06"/>
    <w:rsid w:val="00DF7736"/>
    <w:rsid w:val="00E051D6"/>
    <w:rsid w:val="00E22392"/>
    <w:rsid w:val="00E24E70"/>
    <w:rsid w:val="00E314E6"/>
    <w:rsid w:val="00E33973"/>
    <w:rsid w:val="00E35A36"/>
    <w:rsid w:val="00E35D56"/>
    <w:rsid w:val="00E37A82"/>
    <w:rsid w:val="00E41C25"/>
    <w:rsid w:val="00E53209"/>
    <w:rsid w:val="00E62010"/>
    <w:rsid w:val="00E77293"/>
    <w:rsid w:val="00E84EA5"/>
    <w:rsid w:val="00E876B0"/>
    <w:rsid w:val="00E90B36"/>
    <w:rsid w:val="00E90F5B"/>
    <w:rsid w:val="00E946D5"/>
    <w:rsid w:val="00EB31E8"/>
    <w:rsid w:val="00EC4649"/>
    <w:rsid w:val="00ED4D84"/>
    <w:rsid w:val="00EE2180"/>
    <w:rsid w:val="00EE4BCD"/>
    <w:rsid w:val="00EF04BD"/>
    <w:rsid w:val="00F0598E"/>
    <w:rsid w:val="00F06ACC"/>
    <w:rsid w:val="00F15B36"/>
    <w:rsid w:val="00F27E12"/>
    <w:rsid w:val="00F324CD"/>
    <w:rsid w:val="00F32771"/>
    <w:rsid w:val="00F411A7"/>
    <w:rsid w:val="00F446E9"/>
    <w:rsid w:val="00F447CA"/>
    <w:rsid w:val="00F56B4B"/>
    <w:rsid w:val="00F70C12"/>
    <w:rsid w:val="00F76079"/>
    <w:rsid w:val="00F94241"/>
    <w:rsid w:val="00F95D87"/>
    <w:rsid w:val="00FA0A5C"/>
    <w:rsid w:val="00FA64C9"/>
    <w:rsid w:val="00FB0E0F"/>
    <w:rsid w:val="00FC153B"/>
    <w:rsid w:val="00FC2B7F"/>
    <w:rsid w:val="00FC76B2"/>
    <w:rsid w:val="00FD1DAA"/>
    <w:rsid w:val="00FD3EAE"/>
    <w:rsid w:val="00F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B355-42DE-4496-A68F-0F700627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477</cp:revision>
  <cp:lastPrinted>2014-10-30T13:42:00Z</cp:lastPrinted>
  <dcterms:created xsi:type="dcterms:W3CDTF">2015-03-25T09:29:00Z</dcterms:created>
  <dcterms:modified xsi:type="dcterms:W3CDTF">2015-07-21T08:57:00Z</dcterms:modified>
</cp:coreProperties>
</file>